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F3D95" w14:textId="77777777" w:rsidR="008456DE" w:rsidRDefault="008456DE" w:rsidP="00EA4F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56DE">
        <w:rPr>
          <w:rFonts w:ascii="Times New Roman" w:hAnsi="Times New Roman" w:cs="Times New Roman"/>
          <w:b/>
          <w:sz w:val="32"/>
          <w:szCs w:val="32"/>
        </w:rPr>
        <w:t>Перечень документов, прилагаемых к заявке н</w:t>
      </w:r>
      <w:r w:rsidR="00EA4FF3">
        <w:rPr>
          <w:rFonts w:ascii="Times New Roman" w:hAnsi="Times New Roman" w:cs="Times New Roman"/>
          <w:b/>
          <w:sz w:val="32"/>
          <w:szCs w:val="32"/>
        </w:rPr>
        <w:t>а технологическое присоединение</w:t>
      </w:r>
      <w:r w:rsidR="009F0EF2">
        <w:rPr>
          <w:rFonts w:ascii="Times New Roman" w:hAnsi="Times New Roman" w:cs="Times New Roman"/>
          <w:b/>
          <w:sz w:val="32"/>
          <w:szCs w:val="32"/>
        </w:rPr>
        <w:t>:</w:t>
      </w:r>
    </w:p>
    <w:p w14:paraId="741A37F2" w14:textId="77777777" w:rsidR="00EA4FF3" w:rsidRPr="00EA4FF3" w:rsidRDefault="00EA4FF3" w:rsidP="00EA4FF3">
      <w:pPr>
        <w:jc w:val="center"/>
        <w:rPr>
          <w:rFonts w:ascii="Times New Roman" w:hAnsi="Times New Roman" w:cs="Times New Roman"/>
          <w:sz w:val="28"/>
          <w:szCs w:val="28"/>
        </w:rPr>
      </w:pPr>
      <w:r w:rsidRPr="00EA4FF3">
        <w:rPr>
          <w:rFonts w:ascii="Times New Roman" w:hAnsi="Times New Roman" w:cs="Times New Roman"/>
          <w:bCs/>
          <w:color w:val="333333"/>
          <w:sz w:val="19"/>
          <w:szCs w:val="19"/>
        </w:rPr>
        <w:t>«Правила</w:t>
      </w:r>
      <w:r w:rsidRPr="00EA4FF3">
        <w:rPr>
          <w:rFonts w:ascii="Times New Roman" w:hAnsi="Times New Roman" w:cs="Times New Roman"/>
          <w:color w:val="333333"/>
          <w:sz w:val="19"/>
          <w:szCs w:val="19"/>
        </w:rPr>
        <w:t xml:space="preserve"> </w:t>
      </w:r>
      <w:r w:rsidRPr="00EA4FF3">
        <w:rPr>
          <w:rFonts w:ascii="Times New Roman" w:hAnsi="Times New Roman" w:cs="Times New Roman"/>
          <w:bCs/>
          <w:color w:val="333333"/>
          <w:sz w:val="19"/>
          <w:szCs w:val="19"/>
        </w:rPr>
        <w:t>технологического</w:t>
      </w:r>
      <w:r w:rsidRPr="00EA4FF3">
        <w:rPr>
          <w:rFonts w:ascii="Times New Roman" w:hAnsi="Times New Roman" w:cs="Times New Roman"/>
          <w:color w:val="333333"/>
          <w:sz w:val="19"/>
          <w:szCs w:val="19"/>
        </w:rPr>
        <w:t xml:space="preserve"> </w:t>
      </w:r>
      <w:r w:rsidRPr="00EA4FF3">
        <w:rPr>
          <w:rFonts w:ascii="Times New Roman" w:hAnsi="Times New Roman" w:cs="Times New Roman"/>
          <w:bCs/>
          <w:color w:val="333333"/>
          <w:sz w:val="19"/>
          <w:szCs w:val="19"/>
        </w:rPr>
        <w:t>присоединения</w:t>
      </w:r>
      <w:r w:rsidRPr="00EA4FF3">
        <w:rPr>
          <w:rFonts w:ascii="Times New Roman" w:hAnsi="Times New Roman" w:cs="Times New Roman"/>
          <w:color w:val="333333"/>
          <w:sz w:val="19"/>
          <w:szCs w:val="19"/>
        </w:rPr>
        <w:t xml:space="preserve"> </w:t>
      </w:r>
      <w:r w:rsidRPr="00EA4FF3">
        <w:rPr>
          <w:rFonts w:ascii="Times New Roman" w:hAnsi="Times New Roman" w:cs="Times New Roman"/>
          <w:bCs/>
          <w:color w:val="333333"/>
          <w:sz w:val="19"/>
          <w:szCs w:val="19"/>
        </w:rPr>
        <w:t>энергопринимающих</w:t>
      </w:r>
      <w:r w:rsidRPr="00EA4FF3">
        <w:rPr>
          <w:rFonts w:ascii="Times New Roman" w:hAnsi="Times New Roman" w:cs="Times New Roman"/>
          <w:color w:val="333333"/>
          <w:sz w:val="19"/>
          <w:szCs w:val="19"/>
        </w:rPr>
        <w:t xml:space="preserve"> </w:t>
      </w:r>
      <w:r w:rsidRPr="00EA4FF3">
        <w:rPr>
          <w:rFonts w:ascii="Times New Roman" w:hAnsi="Times New Roman" w:cs="Times New Roman"/>
          <w:bCs/>
          <w:color w:val="333333"/>
          <w:sz w:val="19"/>
          <w:szCs w:val="19"/>
        </w:rPr>
        <w:t>устройств</w:t>
      </w:r>
      <w:r w:rsidRPr="00EA4FF3">
        <w:rPr>
          <w:rFonts w:ascii="Times New Roman" w:hAnsi="Times New Roman" w:cs="Times New Roman"/>
          <w:color w:val="333333"/>
          <w:sz w:val="19"/>
          <w:szCs w:val="19"/>
        </w:rPr>
        <w:t xml:space="preserve"> </w:t>
      </w:r>
      <w:r w:rsidRPr="00EA4FF3">
        <w:rPr>
          <w:rFonts w:ascii="Times New Roman" w:hAnsi="Times New Roman" w:cs="Times New Roman"/>
          <w:bCs/>
          <w:color w:val="333333"/>
          <w:sz w:val="19"/>
          <w:szCs w:val="19"/>
        </w:rPr>
        <w:t>потребителей</w:t>
      </w:r>
      <w:r w:rsidRPr="00EA4FF3">
        <w:rPr>
          <w:rFonts w:ascii="Times New Roman" w:hAnsi="Times New Roman" w:cs="Times New Roman"/>
          <w:color w:val="333333"/>
          <w:sz w:val="19"/>
          <w:szCs w:val="19"/>
        </w:rPr>
        <w:t xml:space="preserve"> </w:t>
      </w:r>
      <w:r w:rsidRPr="00EA4FF3">
        <w:rPr>
          <w:rFonts w:ascii="Times New Roman" w:hAnsi="Times New Roman" w:cs="Times New Roman"/>
          <w:bCs/>
          <w:color w:val="333333"/>
          <w:sz w:val="19"/>
          <w:szCs w:val="19"/>
        </w:rPr>
        <w:t>электрической</w:t>
      </w:r>
      <w:r w:rsidRPr="00EA4FF3">
        <w:rPr>
          <w:rFonts w:ascii="Times New Roman" w:hAnsi="Times New Roman" w:cs="Times New Roman"/>
          <w:color w:val="333333"/>
          <w:sz w:val="19"/>
          <w:szCs w:val="19"/>
        </w:rPr>
        <w:t xml:space="preserve"> </w:t>
      </w:r>
      <w:r w:rsidRPr="00EA4FF3">
        <w:rPr>
          <w:rFonts w:ascii="Times New Roman" w:hAnsi="Times New Roman" w:cs="Times New Roman"/>
          <w:bCs/>
          <w:color w:val="333333"/>
          <w:sz w:val="19"/>
          <w:szCs w:val="19"/>
        </w:rPr>
        <w:t>энергии</w:t>
      </w:r>
      <w:r w:rsidRPr="00EA4FF3">
        <w:rPr>
          <w:rFonts w:ascii="Times New Roman" w:hAnsi="Times New Roman" w:cs="Times New Roman"/>
          <w:color w:val="333333"/>
          <w:sz w:val="19"/>
          <w:szCs w:val="19"/>
        </w:rPr>
        <w:t xml:space="preserve">, </w:t>
      </w:r>
      <w:r w:rsidRPr="00EA4FF3">
        <w:rPr>
          <w:rFonts w:ascii="Times New Roman" w:hAnsi="Times New Roman" w:cs="Times New Roman"/>
          <w:bCs/>
          <w:color w:val="333333"/>
          <w:sz w:val="19"/>
          <w:szCs w:val="19"/>
        </w:rPr>
        <w:t>объектов</w:t>
      </w:r>
      <w:r w:rsidRPr="00EA4FF3">
        <w:rPr>
          <w:rFonts w:ascii="Times New Roman" w:hAnsi="Times New Roman" w:cs="Times New Roman"/>
          <w:color w:val="333333"/>
          <w:sz w:val="19"/>
          <w:szCs w:val="19"/>
        </w:rPr>
        <w:t xml:space="preserve"> </w:t>
      </w:r>
      <w:r w:rsidRPr="00EA4FF3">
        <w:rPr>
          <w:rFonts w:ascii="Times New Roman" w:hAnsi="Times New Roman" w:cs="Times New Roman"/>
          <w:bCs/>
          <w:color w:val="333333"/>
          <w:sz w:val="19"/>
          <w:szCs w:val="19"/>
        </w:rPr>
        <w:t>по</w:t>
      </w:r>
      <w:r w:rsidRPr="00EA4FF3">
        <w:rPr>
          <w:rFonts w:ascii="Times New Roman" w:hAnsi="Times New Roman" w:cs="Times New Roman"/>
          <w:color w:val="333333"/>
          <w:sz w:val="19"/>
          <w:szCs w:val="19"/>
        </w:rPr>
        <w:t xml:space="preserve"> </w:t>
      </w:r>
      <w:r w:rsidRPr="00EA4FF3">
        <w:rPr>
          <w:rFonts w:ascii="Times New Roman" w:hAnsi="Times New Roman" w:cs="Times New Roman"/>
          <w:bCs/>
          <w:color w:val="333333"/>
          <w:sz w:val="19"/>
          <w:szCs w:val="19"/>
        </w:rPr>
        <w:t>производству</w:t>
      </w:r>
      <w:r w:rsidRPr="00EA4FF3">
        <w:rPr>
          <w:rFonts w:ascii="Times New Roman" w:hAnsi="Times New Roman" w:cs="Times New Roman"/>
          <w:color w:val="333333"/>
          <w:sz w:val="19"/>
          <w:szCs w:val="19"/>
        </w:rPr>
        <w:t xml:space="preserve"> </w:t>
      </w:r>
      <w:r w:rsidRPr="00EA4FF3">
        <w:rPr>
          <w:rFonts w:ascii="Times New Roman" w:hAnsi="Times New Roman" w:cs="Times New Roman"/>
          <w:bCs/>
          <w:color w:val="333333"/>
          <w:sz w:val="19"/>
          <w:szCs w:val="19"/>
        </w:rPr>
        <w:t>электрической</w:t>
      </w:r>
      <w:r w:rsidRPr="00EA4FF3">
        <w:rPr>
          <w:rFonts w:ascii="Times New Roman" w:hAnsi="Times New Roman" w:cs="Times New Roman"/>
          <w:color w:val="333333"/>
          <w:sz w:val="19"/>
          <w:szCs w:val="19"/>
        </w:rPr>
        <w:t xml:space="preserve"> </w:t>
      </w:r>
      <w:r w:rsidRPr="00EA4FF3">
        <w:rPr>
          <w:rFonts w:ascii="Times New Roman" w:hAnsi="Times New Roman" w:cs="Times New Roman"/>
          <w:bCs/>
          <w:color w:val="333333"/>
          <w:sz w:val="19"/>
          <w:szCs w:val="19"/>
        </w:rPr>
        <w:t>энергии</w:t>
      </w:r>
      <w:r w:rsidRPr="00EA4FF3">
        <w:rPr>
          <w:rFonts w:ascii="Times New Roman" w:hAnsi="Times New Roman" w:cs="Times New Roman"/>
          <w:color w:val="333333"/>
          <w:sz w:val="19"/>
          <w:szCs w:val="19"/>
        </w:rPr>
        <w:t xml:space="preserve">, </w:t>
      </w:r>
      <w:r w:rsidRPr="00EA4FF3">
        <w:rPr>
          <w:rFonts w:ascii="Times New Roman" w:hAnsi="Times New Roman" w:cs="Times New Roman"/>
          <w:bCs/>
          <w:color w:val="333333"/>
          <w:sz w:val="19"/>
          <w:szCs w:val="19"/>
        </w:rPr>
        <w:t>а</w:t>
      </w:r>
      <w:r w:rsidRPr="00EA4FF3">
        <w:rPr>
          <w:rFonts w:ascii="Times New Roman" w:hAnsi="Times New Roman" w:cs="Times New Roman"/>
          <w:color w:val="333333"/>
          <w:sz w:val="19"/>
          <w:szCs w:val="19"/>
        </w:rPr>
        <w:t xml:space="preserve"> </w:t>
      </w:r>
      <w:r w:rsidRPr="00EA4FF3">
        <w:rPr>
          <w:rFonts w:ascii="Times New Roman" w:hAnsi="Times New Roman" w:cs="Times New Roman"/>
          <w:bCs/>
          <w:color w:val="333333"/>
          <w:sz w:val="19"/>
          <w:szCs w:val="19"/>
        </w:rPr>
        <w:t>также</w:t>
      </w:r>
      <w:r w:rsidRPr="00EA4FF3">
        <w:rPr>
          <w:rFonts w:ascii="Times New Roman" w:hAnsi="Times New Roman" w:cs="Times New Roman"/>
          <w:color w:val="333333"/>
          <w:sz w:val="19"/>
          <w:szCs w:val="19"/>
        </w:rPr>
        <w:t xml:space="preserve"> </w:t>
      </w:r>
      <w:r w:rsidRPr="00EA4FF3">
        <w:rPr>
          <w:rFonts w:ascii="Times New Roman" w:hAnsi="Times New Roman" w:cs="Times New Roman"/>
          <w:bCs/>
          <w:color w:val="333333"/>
          <w:sz w:val="19"/>
          <w:szCs w:val="19"/>
        </w:rPr>
        <w:t>объектов</w:t>
      </w:r>
      <w:r w:rsidRPr="00EA4FF3">
        <w:rPr>
          <w:rFonts w:ascii="Times New Roman" w:hAnsi="Times New Roman" w:cs="Times New Roman"/>
          <w:color w:val="333333"/>
          <w:sz w:val="19"/>
          <w:szCs w:val="19"/>
        </w:rPr>
        <w:t xml:space="preserve"> </w:t>
      </w:r>
      <w:r w:rsidRPr="00EA4FF3">
        <w:rPr>
          <w:rFonts w:ascii="Times New Roman" w:hAnsi="Times New Roman" w:cs="Times New Roman"/>
          <w:bCs/>
          <w:color w:val="333333"/>
          <w:sz w:val="19"/>
          <w:szCs w:val="19"/>
        </w:rPr>
        <w:t>электросетевого</w:t>
      </w:r>
      <w:r w:rsidRPr="00EA4FF3">
        <w:rPr>
          <w:rFonts w:ascii="Times New Roman" w:hAnsi="Times New Roman" w:cs="Times New Roman"/>
          <w:color w:val="333333"/>
          <w:sz w:val="19"/>
          <w:szCs w:val="19"/>
        </w:rPr>
        <w:t xml:space="preserve"> </w:t>
      </w:r>
      <w:r w:rsidRPr="00EA4FF3">
        <w:rPr>
          <w:rFonts w:ascii="Times New Roman" w:hAnsi="Times New Roman" w:cs="Times New Roman"/>
          <w:bCs/>
          <w:color w:val="333333"/>
          <w:sz w:val="19"/>
          <w:szCs w:val="19"/>
        </w:rPr>
        <w:t>хозяйства» утвержденные Постановлением Правительства РФ от 27.12.2004 г. № 861</w:t>
      </w:r>
    </w:p>
    <w:p w14:paraId="543889F1" w14:textId="3895CB02" w:rsidR="001D25CB" w:rsidRDefault="001D25CB" w:rsidP="001D25CB">
      <w:pPr>
        <w:pStyle w:val="ConsPlusNormal"/>
        <w:spacing w:before="240"/>
        <w:ind w:firstLine="540"/>
        <w:jc w:val="both"/>
      </w:pPr>
      <w:r>
        <w:t>10. К заявке прилагаются следующие документы:</w:t>
      </w:r>
    </w:p>
    <w:p w14:paraId="1810B460" w14:textId="77777777" w:rsidR="001D25CB" w:rsidRDefault="001D25CB" w:rsidP="001D25CB">
      <w:pPr>
        <w:pStyle w:val="ConsPlusNormal"/>
        <w:spacing w:before="240"/>
        <w:ind w:firstLine="540"/>
        <w:jc w:val="both"/>
      </w:pPr>
      <w:bookmarkStart w:id="0" w:name="Par971"/>
      <w:bookmarkEnd w:id="0"/>
      <w:r>
        <w:t>а) план расположения энергопринимающих устройств, которые необходимо присоединить к электрическим сетям сетевой организации;</w:t>
      </w:r>
    </w:p>
    <w:p w14:paraId="53E487D6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 xml:space="preserve">б) однолинейная схема электрических сетей заявителя, присоединяемых к электрическим сетям сетевой организации, номинальный класс напряжения которых составляет 35 </w:t>
      </w:r>
      <w:proofErr w:type="spellStart"/>
      <w:r>
        <w:t>кВ</w:t>
      </w:r>
      <w:proofErr w:type="spellEnd"/>
      <w:r>
        <w:t xml:space="preserve"> и выше, с указанием возможности резервирования от собственных источников энергоснабжения (включая резервирование для собственных нужд) и возможности переключения нагрузок (генерации) по внутренним сетям заявителя;</w:t>
      </w:r>
    </w:p>
    <w:p w14:paraId="013C0918" w14:textId="77777777" w:rsidR="001D25CB" w:rsidRDefault="001D25CB" w:rsidP="001D25CB">
      <w:pPr>
        <w:pStyle w:val="ConsPlusNormal"/>
        <w:jc w:val="both"/>
      </w:pPr>
      <w:r>
        <w:t>(в ред. Постановления Правительства РФ от 21.04.2009 N 334)</w:t>
      </w:r>
    </w:p>
    <w:p w14:paraId="773583DB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>в) перечень и мощность энергопринимающих устройств, которые могут быть присоединены к устройствам противоаварийной и режимной автоматики;</w:t>
      </w:r>
    </w:p>
    <w:p w14:paraId="5B1053DB" w14:textId="77777777" w:rsidR="001D25CB" w:rsidRDefault="001D25CB" w:rsidP="001D25CB">
      <w:pPr>
        <w:pStyle w:val="ConsPlusNormal"/>
        <w:jc w:val="both"/>
      </w:pPr>
      <w:r>
        <w:t>(в ред. Постановления Правительства РФ от 13.08.2018 N 937)</w:t>
      </w:r>
    </w:p>
    <w:p w14:paraId="1C6DE223" w14:textId="77777777" w:rsidR="001D25CB" w:rsidRDefault="001D25CB" w:rsidP="001D25CB">
      <w:pPr>
        <w:pStyle w:val="ConsPlusNormal"/>
        <w:spacing w:before="240"/>
        <w:ind w:firstLine="540"/>
        <w:jc w:val="both"/>
      </w:pPr>
      <w:bookmarkStart w:id="1" w:name="Par976"/>
      <w:bookmarkEnd w:id="1"/>
      <w:r>
        <w:t>г) копия документа, подтверждающего право собственности или иное предусмотренное законом основание на объект капитального строительства (нежилое помещение в таком объекте капитального строительства) и (или) земельный участок, на котором расположены (будут располагаться) объекты заявителя, либо право собственности или иное предусмотренное законом основание на энергопринимающие устройства (для заявителей, планирующих осуществить технологическое присоединение энергопринимающих устройств потребителей, расположенных в нежилых помещениях многоквартирных домов или иных объектах капитального строительства, - копия документа,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строительства);</w:t>
      </w:r>
    </w:p>
    <w:p w14:paraId="3E890992" w14:textId="77777777" w:rsidR="001D25CB" w:rsidRDefault="001D25CB" w:rsidP="001D25C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"г" в ред. Постановления Правительства РФ от 12.10.2013 N 915)</w:t>
      </w:r>
    </w:p>
    <w:p w14:paraId="2A40EA00" w14:textId="77777777" w:rsidR="001D25CB" w:rsidRDefault="001D25CB" w:rsidP="001D25CB">
      <w:pPr>
        <w:pStyle w:val="ConsPlusNormal"/>
        <w:spacing w:before="240"/>
        <w:ind w:firstLine="540"/>
        <w:jc w:val="both"/>
      </w:pPr>
      <w:bookmarkStart w:id="2" w:name="Par978"/>
      <w:bookmarkEnd w:id="2"/>
      <w:r>
        <w:t>д) для юридических лиц - выписка из Единого государственного реестра юридических лиц, для индивидуальных предпринимателей - выписка из Единого государственного реестра индивидуальных предпринимателей, а также доверенность или иные документы, подтверждающие полномочия представителя заявителя, подающего и получающего документы, в случае если заявка подается в сетевую организацию представителем заявителя, копия паспорта гражданина Российской Федерации или иного документа, удостоверяющего личность, если заявителем выступает индивидуальный предприниматель или гражданин;</w:t>
      </w:r>
    </w:p>
    <w:p w14:paraId="175DD22D" w14:textId="77777777" w:rsidR="001D25CB" w:rsidRDefault="001D25CB" w:rsidP="001D25C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"д" в ред. Постановления Правительства РФ от 11.05.2017 N 557)</w:t>
      </w:r>
    </w:p>
    <w:p w14:paraId="0554C977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>д(1)) в случае подачи заявки очно или почтой - заполненное согласие на обработку персональных данных сетевой организацией и субъектом розничного рынка, с которым заявитель намеревается заключить договор, обеспечивающий продажу электрической энергии (мощности) на розничном рынке;</w:t>
      </w:r>
    </w:p>
    <w:p w14:paraId="20C187CA" w14:textId="77777777" w:rsidR="001D25CB" w:rsidRDefault="001D25CB" w:rsidP="001D25C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д(</w:t>
      </w:r>
      <w:proofErr w:type="gramEnd"/>
      <w:r>
        <w:t>1)" введен Постановлением Правительства РФ от 01.04.2020 N 403)</w:t>
      </w:r>
    </w:p>
    <w:p w14:paraId="3B8314A5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>е) утратил силу. - Постановление Правительства РФ от 24.09.2010 N 759;</w:t>
      </w:r>
    </w:p>
    <w:p w14:paraId="2EBBC3A0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 xml:space="preserve">ж) в случае технологического присоединения энергопринимающих устройств, указанных в </w:t>
      </w:r>
      <w:hyperlink w:anchor="Par930" w:tooltip="8(4). В случае технологического присоединения энергопринимающих устройств, находящихся в нежилых помещениях, расположенных в многоквартирных домах и иных объектах капитального строительства, заявка на технологическое присоединение энергопринимающих устройств подается в сетевую организацию, к объектам электросетевого хозяйства которой присоединен соответствующий многоквартирный дом или иной объект капитального строительства, собственником такого нежилого помещения или лицом, обладающим иным законным право..." w:history="1">
        <w:r>
          <w:rPr>
            <w:color w:val="0000FF"/>
          </w:rPr>
          <w:t>абзаце первом пункта 8(4)</w:t>
        </w:r>
      </w:hyperlink>
      <w:r>
        <w:t xml:space="preserve"> настоящих Правил, копия документа, подтверждающего согласие организации, осуществляющей управление многоквартирным домом, 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</w:t>
      </w:r>
      <w:r>
        <w:lastRenderedPageBreak/>
        <w:t>на организацию присоединения нежилого помещения отдельными линиями от вводного устройства (вводно-распределительного устройства, главного распределительного щита), установленного на вводе питающей линии сетевой организации в соответствующее здание или его обособленную часть (если для соответствующего нежилого помещения проектом на многоквартирный дом не предусмотрено индивидуальное вводно-распределительное устройство с непосредственным присоединением к питающей линии сетевой организации);</w:t>
      </w:r>
    </w:p>
    <w:p w14:paraId="744CA81D" w14:textId="77777777" w:rsidR="001D25CB" w:rsidRDefault="001D25CB" w:rsidP="001D25C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"ж" введен Постановлением Правительства РФ от 12.10.2013 N 915)</w:t>
      </w:r>
    </w:p>
    <w:p w14:paraId="3BDA5C51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>з) в случае технологического присоединения энергопринимающих устройств, расположенных в границах территории садоводства или огородничества, - справка о количестве земельных участков, расположенных в границах территории садоводства или огородничества, с указанием информации о фамилии, имени, отчестве владельцев земельных участков, сериях, номерах и датах выдачи паспортов или иных документов, удостоверяющих личность в соответствии с законодательством Российской Федерации, а также в случае наличия такой информации - кадастровые номера земельных участков и данные о величине максимальной мощности энергопринимающих устройств, выделенной на каждый земельный участок в соответствии с решением общего собрания членов садоводческого или огороднического некоммерческого товарищества;</w:t>
      </w:r>
    </w:p>
    <w:p w14:paraId="43146BF6" w14:textId="77777777" w:rsidR="001D25CB" w:rsidRDefault="001D25CB" w:rsidP="001D25CB">
      <w:pPr>
        <w:pStyle w:val="ConsPlusNormal"/>
        <w:jc w:val="both"/>
      </w:pPr>
      <w:r>
        <w:t>(в ред. Постановлений Правительства РФ от 10.11.2017 N 1351, от 21.12.2018 N 1622)</w:t>
      </w:r>
    </w:p>
    <w:p w14:paraId="017EA2B9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>з(1)) в случае технологического присоединения энергопринимающих устройств, принадлежащих потребительскому кооперативу (гаражно-строительному, гаражному кооперативу) (далее - кооператив) либо его членам, - справка о количестве гаражей либо иных объектов, расположенных в границах территории кооператива, с указанием информации о фамилии, имени, отчестве собственников или иных законных владельцев гаражей либо иных объектов, сериях, номерах и датах выдачи паспортов или иных документов, удостоверяющих личность в соответствии с законодательством Российской Федерации, а также в случае наличия такой информации - кадастровые номера земельных участков, расположенных в границах территории кооператива, и данные о величине максимальной мощности энергопринимающих устройств, выделенной на каждый гараж либо иной объект, расположенный в границах территории кооператива, в соответствии с решением общего собрания членов кооператива;</w:t>
      </w:r>
    </w:p>
    <w:p w14:paraId="72354B53" w14:textId="77777777" w:rsidR="001D25CB" w:rsidRDefault="001D25CB" w:rsidP="001D25C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з(</w:t>
      </w:r>
      <w:proofErr w:type="gramEnd"/>
      <w:r>
        <w:t>1)" введен Постановлением Правительства РФ от 01.04.2020 N 403)</w:t>
      </w:r>
    </w:p>
    <w:p w14:paraId="0197B13C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>и) подписанный заявителем проект договора энергоснабжения (купли-продажи (поставки) электрической энергии (мощности) или протокол разногласий к проекту договора, форма которого размещена (опубликована) гарантирующим поставщиком в соответствии с пунктом 33 Основных положений функционирования розничных рынков электрической энергии (предоставляется по желанию заявителя при намерении заключить договор энергоснабжения (купли-продажи (поставки) электрической энергии (мощности) с гарантирующим поставщиком), с приложением документов, подтверждающих полномочия представителя заявителя на заключение такого договора;</w:t>
      </w:r>
    </w:p>
    <w:p w14:paraId="3376F00A" w14:textId="77777777" w:rsidR="001D25CB" w:rsidRDefault="001D25CB" w:rsidP="001D25CB">
      <w:pPr>
        <w:pStyle w:val="ConsPlusNormal"/>
        <w:jc w:val="both"/>
      </w:pPr>
      <w:r>
        <w:t>(в ред. Постановлений Правительства РФ от 11.05.2017 N 557, от 01.04.2020 N 403)</w:t>
      </w:r>
    </w:p>
    <w:p w14:paraId="74E36DAC" w14:textId="77777777" w:rsidR="001D25CB" w:rsidRDefault="001D25CB" w:rsidP="001D25CB">
      <w:pPr>
        <w:pStyle w:val="ConsPlusNormal"/>
        <w:spacing w:before="240"/>
        <w:ind w:firstLine="540"/>
        <w:jc w:val="both"/>
      </w:pPr>
      <w:bookmarkStart w:id="3" w:name="Par991"/>
      <w:bookmarkEnd w:id="3"/>
      <w:r>
        <w:t>к) в случае технологического присоединения объекта по производству электрической энергии максимальной мощностью более 5 МВт или энергопринимающих устройств максимальной мощностью более 50 МВт схема выдачи мощности или схема внешнего электроснабжения соответственно, разработанная заявителем и согласованная им с сетевой организацией и субъектом оперативно-диспетчерского управления в электроэнергетике в соответствии с правилами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и методическими указаниями по проектированию развития энергосистем, утвержденными федеральным органом исполнительной власти, уполномоченным Правительством Российской Федерации на осуществление функций по выработке и реализации государственной политики и нормативно-правовому регулированию в топливно-энергетическом комплексе;</w:t>
      </w:r>
    </w:p>
    <w:p w14:paraId="53F3541C" w14:textId="77777777" w:rsidR="001D25CB" w:rsidRDefault="001D25CB" w:rsidP="001D25C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"к" введен Постановлением Правительства РФ от 13.08.2018 N 937)</w:t>
      </w:r>
    </w:p>
    <w:p w14:paraId="38EE98B4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lastRenderedPageBreak/>
        <w:t>л) в случае технологического присоединения энергопринимающих устройств, расположенных в границах территории садоводства или огородничества, или энергопринимающих устройств, принадлежащих кооперативу либо его членам, - заполненное всеми гражданами, осуществляющими ведение садоводства или огородничества на земельных участках, расположенных в границах территории садоводства или огородничества, иными правообладателями объектов недвижимости, расположенных в границах территории садоводства или огородничества, или собственниками, или иными законными владельцами гаражей либо иных объектов, расположенных в границах территории кооператива, в отношении энергопринимающих устройств которых подается заявка, согласие на обработку персональных данных сетевой организацией и субъектом розничного рынка, с которым заявитель намеревается заключить договор, обеспечивающий продажу электрической энергии (мощности) на розничном рынке.</w:t>
      </w:r>
    </w:p>
    <w:p w14:paraId="346505C3" w14:textId="77777777" w:rsidR="001D25CB" w:rsidRDefault="001D25CB" w:rsidP="001D25C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"л" введен Постановлением Правительства РФ от 01.04.2020 N 403)</w:t>
      </w:r>
    </w:p>
    <w:p w14:paraId="306D4BD9" w14:textId="07688CCC" w:rsidR="00575C5A" w:rsidRDefault="00575C5A" w:rsidP="00713724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573478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>12. В заявке, направляемой заявителем - юридическим лицом или индивидуальным предпринимателем, максимальная мощность энергопринимающих устройств которых составляет свыше 150 кВт и менее 670 кВт, должны быть указаны:</w:t>
      </w:r>
    </w:p>
    <w:p w14:paraId="1884D828" w14:textId="77777777" w:rsidR="001D25CB" w:rsidRDefault="001D25CB" w:rsidP="001D25CB">
      <w:pPr>
        <w:pStyle w:val="ConsPlusNormal"/>
        <w:jc w:val="both"/>
      </w:pPr>
      <w:r>
        <w:t>(в ред. Постановлений Правительства РФ от 04.05.2012 N 442, от 26.08.2013 N 737)</w:t>
      </w:r>
    </w:p>
    <w:p w14:paraId="3B6533F9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 xml:space="preserve">а) сведения, указанные в </w:t>
      </w:r>
      <w:hyperlink w:anchor="Par940" w:tooltip="а) реквизиты заявителя (для юридических лиц - полное наименование и номер записи в Едином государственном реестре юридических лиц, для индивидуальных предпринимателей - номер записи в Едином государственном реестре индивидуальных предпринимателей и дата ее внесения в реестр, 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);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ar943" w:tooltip="в) место нахождения заявителя;" w:history="1">
        <w:r>
          <w:rPr>
            <w:color w:val="0000FF"/>
          </w:rPr>
          <w:t>"в"</w:t>
        </w:r>
      </w:hyperlink>
      <w:r>
        <w:t xml:space="preserve">, </w:t>
      </w:r>
      <w:hyperlink w:anchor="Par946" w:tooltip="д) количество точек присоединения с указанием технических параметров элементов энергопринимающих устройств;" w:history="1">
        <w:r>
          <w:rPr>
            <w:color w:val="0000FF"/>
          </w:rPr>
          <w:t>"д"</w:t>
        </w:r>
      </w:hyperlink>
      <w:r>
        <w:t xml:space="preserve">, </w:t>
      </w:r>
      <w:hyperlink w:anchor="Par947" w:tooltip="е) заявляемая категория надежности энергопринимающих устройств;" w:history="1">
        <w:r>
          <w:rPr>
            <w:color w:val="0000FF"/>
          </w:rPr>
          <w:t>"е"</w:t>
        </w:r>
      </w:hyperlink>
      <w:r>
        <w:t xml:space="preserve"> и </w:t>
      </w:r>
      <w:hyperlink w:anchor="Par953" w:tooltip="и) сроки проектирования и поэтапного введения в эксплуатацию энергопринимающих устройств (в том числе по этапам и очередям);" w:history="1">
        <w:r>
          <w:rPr>
            <w:color w:val="0000FF"/>
          </w:rPr>
          <w:t>"и"</w:t>
        </w:r>
      </w:hyperlink>
      <w:r>
        <w:t xml:space="preserve"> - </w:t>
      </w:r>
      <w:hyperlink w:anchor="Par956" w:tooltip="л) наименование субъекта розничного рынка, с которым заявитель намеревается заключить договор, обеспечивающий продажу электрической энергии (мощности) на розничном рынке, и вид такого договора (договор энергоснабжения или купли-продажи (поставки) электрической энергии (мощности));" w:history="1">
        <w:r>
          <w:rPr>
            <w:color w:val="0000FF"/>
          </w:rPr>
          <w:t>"л" пункта 9</w:t>
        </w:r>
      </w:hyperlink>
      <w:r>
        <w:t xml:space="preserve"> настоящих Правил;</w:t>
      </w:r>
    </w:p>
    <w:p w14:paraId="3487AF33" w14:textId="77777777" w:rsidR="001D25CB" w:rsidRDefault="001D25CB" w:rsidP="001D25C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"а" в ред. Постановления Правительства РФ от 10.02.2014 N 95)</w:t>
      </w:r>
    </w:p>
    <w:p w14:paraId="545905E7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>б) запрашиваемая максимальная мощность энергопринимающих устройств заявителя;</w:t>
      </w:r>
    </w:p>
    <w:p w14:paraId="7644489B" w14:textId="77777777" w:rsidR="001D25CB" w:rsidRDefault="001D25CB" w:rsidP="001D25CB">
      <w:pPr>
        <w:pStyle w:val="ConsPlusNormal"/>
        <w:jc w:val="both"/>
      </w:pPr>
      <w:r>
        <w:t>(в ред. Постановления Правительства РФ от 04.05.2012 N 442)</w:t>
      </w:r>
    </w:p>
    <w:p w14:paraId="34A24C68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>в) характер нагрузки (вид производственной деятельности).</w:t>
      </w:r>
    </w:p>
    <w:p w14:paraId="515A1369" w14:textId="77777777" w:rsidR="001D25CB" w:rsidRDefault="001D25CB" w:rsidP="001D25CB">
      <w:pPr>
        <w:pStyle w:val="ConsPlusNormal"/>
        <w:spacing w:before="240"/>
        <w:ind w:firstLine="540"/>
        <w:jc w:val="both"/>
      </w:pPr>
      <w:bookmarkStart w:id="4" w:name="Par1006"/>
      <w:bookmarkEnd w:id="4"/>
      <w:r>
        <w:t>12(1). В заявке, направляемой заявителем -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устройств), должны быть указаны:</w:t>
      </w:r>
    </w:p>
    <w:p w14:paraId="07A796FD" w14:textId="77777777" w:rsidR="001D25CB" w:rsidRDefault="001D25CB" w:rsidP="001D25CB">
      <w:pPr>
        <w:pStyle w:val="ConsPlusNormal"/>
        <w:jc w:val="both"/>
      </w:pPr>
      <w:r>
        <w:t>(в ред. Постановлений Правительства РФ от 04.05.2012 N 442, от 05.10.2012 N 1015, от 23.09.2016 N 953)</w:t>
      </w:r>
    </w:p>
    <w:p w14:paraId="43581458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 xml:space="preserve">а) сведения, предусмотренные </w:t>
      </w:r>
      <w:hyperlink w:anchor="Par940" w:tooltip="а) реквизиты заявителя (для юридических лиц - полное наименование и номер записи в Едином государственном реестре юридических лиц, для индивидуальных предпринимателей - номер записи в Едином государственном реестре индивидуальных предпринимателей и дата ее внесения в реестр, 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);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ar943" w:tooltip="в) место нахождения заявителя;" w:history="1">
        <w:r>
          <w:rPr>
            <w:color w:val="0000FF"/>
          </w:rPr>
          <w:t>"в"</w:t>
        </w:r>
      </w:hyperlink>
      <w:r>
        <w:t xml:space="preserve"> и </w:t>
      </w:r>
      <w:hyperlink w:anchor="Par953" w:tooltip="и) сроки проектирования и поэтапного введения в эксплуатацию энергопринимающих устройств (в том числе по этапам и очередям);" w:history="1">
        <w:r>
          <w:rPr>
            <w:color w:val="0000FF"/>
          </w:rPr>
          <w:t>"и"</w:t>
        </w:r>
      </w:hyperlink>
      <w:r>
        <w:t xml:space="preserve"> - </w:t>
      </w:r>
      <w:hyperlink w:anchor="Par956" w:tooltip="л) наименование субъекта розничного рынка, с которым заявитель намеревается заключить договор, обеспечивающий продажу электрической энергии (мощности) на розничном рынке, и вид такого договора (договор энергоснабжения или купли-продажи (поставки) электрической энергии (мощности));" w:history="1">
        <w:r>
          <w:rPr>
            <w:color w:val="0000FF"/>
          </w:rPr>
          <w:t>"л" пункта 9</w:t>
        </w:r>
      </w:hyperlink>
      <w:r>
        <w:t xml:space="preserve"> настоящих Правил;</w:t>
      </w:r>
    </w:p>
    <w:p w14:paraId="251142CC" w14:textId="77777777" w:rsidR="001D25CB" w:rsidRDefault="001D25CB" w:rsidP="001D25C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"а" в ред. Постановления Правительства РФ от 10.02.2014 N 95)</w:t>
      </w:r>
    </w:p>
    <w:p w14:paraId="223C42E2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>б) запрашиваемая максимальная мощность присоединяемых энергопринимающих устройств заявителя;</w:t>
      </w:r>
    </w:p>
    <w:p w14:paraId="7CDEA978" w14:textId="77777777" w:rsidR="001D25CB" w:rsidRDefault="001D25CB" w:rsidP="001D25CB">
      <w:pPr>
        <w:pStyle w:val="ConsPlusNormal"/>
        <w:jc w:val="both"/>
      </w:pPr>
      <w:r>
        <w:t>(в ред. Постановления Правительства РФ от 04.05.2012 N 442)</w:t>
      </w:r>
    </w:p>
    <w:p w14:paraId="05186AD7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>в) характер нагрузки (вид экономической деятельности хозяйствующего субъекта);</w:t>
      </w:r>
    </w:p>
    <w:p w14:paraId="14C77288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>г) предложения по порядку расчетов и условиям рассрочки платежа за технологическое присоединение - для заявителей, максимальная мощность энергопринимающих устройств которых составляет свыше 15 и до 150 кВт включительно.</w:t>
      </w:r>
    </w:p>
    <w:p w14:paraId="42817644" w14:textId="77777777" w:rsidR="001D25CB" w:rsidRDefault="001D25CB" w:rsidP="001D25CB">
      <w:pPr>
        <w:pStyle w:val="ConsPlusNormal"/>
        <w:jc w:val="both"/>
      </w:pPr>
      <w:r>
        <w:t>(в ред. Постановлений Правительства РФ от 05.10.2012 N 1015, от 11.06.2014 N 542)</w:t>
      </w:r>
    </w:p>
    <w:p w14:paraId="7BA2E4A4" w14:textId="77777777" w:rsidR="001D25CB" w:rsidRDefault="001D25CB" w:rsidP="001D25CB">
      <w:pPr>
        <w:pStyle w:val="ConsPlusNormal"/>
        <w:jc w:val="both"/>
      </w:pPr>
      <w:r>
        <w:t>(п. 12(1) введен Постановлением Правительства РФ от 21.04.2009 N 334)</w:t>
      </w:r>
    </w:p>
    <w:p w14:paraId="332A74E5" w14:textId="77777777" w:rsidR="001D25CB" w:rsidRDefault="001D25CB" w:rsidP="001D25CB">
      <w:pPr>
        <w:pStyle w:val="ConsPlusNormal"/>
        <w:spacing w:before="240"/>
        <w:ind w:firstLine="540"/>
        <w:jc w:val="both"/>
      </w:pPr>
      <w:bookmarkStart w:id="5" w:name="Par1016"/>
      <w:bookmarkEnd w:id="5"/>
      <w:r>
        <w:t xml:space="preserve">12(2). Предусмотренные </w:t>
      </w:r>
      <w:hyperlink w:anchor="Par1006" w:tooltip="12(1). В заявке, направляемой заявителем -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, должны быть указаны:" w:history="1">
        <w:r>
          <w:rPr>
            <w:color w:val="0000FF"/>
          </w:rPr>
          <w:t>пунктом 12(1)</w:t>
        </w:r>
      </w:hyperlink>
      <w:r>
        <w:t xml:space="preserve"> настоящих Правил заявители, максимальная мощность энергопринимающих устройств которых составляет свыше 15 и до 150 кВт включительно (с учетом ранее присоединенных в данной точке присоединения энергопринимающих устройств), при желании воспользоваться беспроцентной рассрочкой платежа за технологическое присоединение указывают об этом в направляемой ими заявке.</w:t>
      </w:r>
    </w:p>
    <w:p w14:paraId="7ED33ED8" w14:textId="77777777" w:rsidR="001D25CB" w:rsidRDefault="001D25CB" w:rsidP="001D25CB">
      <w:pPr>
        <w:pStyle w:val="ConsPlusNormal"/>
        <w:jc w:val="both"/>
      </w:pPr>
      <w:r>
        <w:t>(п. 12(2) введен Постановлением Правительства РФ от 05.10.2012 N 1015)</w:t>
      </w:r>
    </w:p>
    <w:p w14:paraId="091ED384" w14:textId="77777777" w:rsidR="001D25CB" w:rsidRDefault="001D25CB" w:rsidP="001D25CB">
      <w:pPr>
        <w:pStyle w:val="ConsPlusNormal"/>
        <w:spacing w:before="240"/>
        <w:ind w:firstLine="540"/>
        <w:jc w:val="both"/>
      </w:pPr>
      <w:bookmarkStart w:id="6" w:name="Par1018"/>
      <w:bookmarkEnd w:id="6"/>
      <w:r>
        <w:lastRenderedPageBreak/>
        <w:t xml:space="preserve">13. В заявке, направляемой заявителем в целях временного технологического присоединения, предусмотренного </w:t>
      </w:r>
      <w:hyperlink w:anchor="Par1637" w:tooltip="VII. Особенности временного технологического присоединения" w:history="1">
        <w:r>
          <w:rPr>
            <w:color w:val="0000FF"/>
          </w:rPr>
          <w:t>разделом VII</w:t>
        </w:r>
      </w:hyperlink>
      <w:r>
        <w:t xml:space="preserve"> настоящих Правил, указывается:</w:t>
      </w:r>
    </w:p>
    <w:p w14:paraId="7EA529EB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 xml:space="preserve">сведения, предусмотренные </w:t>
      </w:r>
      <w:hyperlink w:anchor="Par940" w:tooltip="а) реквизиты заявителя (для юридических лиц - полное наименование и номер записи в Едином государственном реестре юридических лиц, для индивидуальных предпринимателей - номер записи в Едином государственном реестре индивидуальных предпринимателей и дата ее внесения в реестр, 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);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ar943" w:tooltip="в) место нахождения заявителя;" w:history="1">
        <w:r>
          <w:rPr>
            <w:color w:val="0000FF"/>
          </w:rPr>
          <w:t>"в"</w:t>
        </w:r>
      </w:hyperlink>
      <w:r>
        <w:t xml:space="preserve"> и </w:t>
      </w:r>
      <w:hyperlink w:anchor="Par956" w:tooltip="л) наименование субъекта розничного рынка, с которым заявитель намеревается заключить договор, обеспечивающий продажу электрической энергии (мощности) на розничном рынке, и вид такого договора (договор энергоснабжения или купли-продажи (поставки) электрической энергии (мощности));" w:history="1">
        <w:r>
          <w:rPr>
            <w:color w:val="0000FF"/>
          </w:rPr>
          <w:t>"л" пункта 9</w:t>
        </w:r>
      </w:hyperlink>
      <w:r>
        <w:t xml:space="preserve"> настоящих Правил;</w:t>
      </w:r>
    </w:p>
    <w:p w14:paraId="21461AB4" w14:textId="77777777" w:rsidR="001D25CB" w:rsidRDefault="001D25CB" w:rsidP="001D25CB">
      <w:pPr>
        <w:pStyle w:val="ConsPlusNormal"/>
        <w:jc w:val="both"/>
      </w:pPr>
      <w:r>
        <w:t>(в ред. Постановления Правительства РФ от 11.06.2015 N 588)</w:t>
      </w:r>
    </w:p>
    <w:p w14:paraId="197B2876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>запрашиваемая максимальная мощность присоединяемых энергопринимающих устройств;</w:t>
      </w:r>
    </w:p>
    <w:p w14:paraId="24CBEBC5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>характер нагрузки;</w:t>
      </w:r>
    </w:p>
    <w:p w14:paraId="3E20A12F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>срок электроснабжения энергопринимающих устройств по временной схеме электроснабжения (для заявителей, энергопринимающие устройства которых являются передвижными и имеют максимальную мощность до 150 кВт включительно).</w:t>
      </w:r>
    </w:p>
    <w:p w14:paraId="04D45FE5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 xml:space="preserve">К заявке прилагаются документы, указанные в </w:t>
      </w:r>
      <w:hyperlink w:anchor="Par976" w:tooltip="г) копия документа, подтверждающего право собственности или иное предусмотренное законом основание на объект капитального строительства (нежилое помещение в таком объекте капитального строительства) и (или) земельный участок, на котором расположены (будут располагаться) объекты заявителя, либо право собственности или иное предусмотренное законом основание на энергопринимающие устройства (для заявителей, планирующих осуществить технологическое присоединение энергопринимающих устройств потребителей, распол..." w:history="1">
        <w:r>
          <w:rPr>
            <w:color w:val="0000FF"/>
          </w:rPr>
          <w:t>подпунктах "г"</w:t>
        </w:r>
      </w:hyperlink>
      <w:r>
        <w:t xml:space="preserve"> и </w:t>
      </w:r>
      <w:hyperlink w:anchor="Par978" w:tooltip="д) для юридических лиц - выписка из Единого государственного реестра юридических лиц, для индивидуальных предпринимателей - выписка из Единого государственного реестра индивидуальных предпринимателей, а также доверенность или иные документы, подтверждающие полномочия представителя заявителя, подающего и получающего документы, в случае если заявка подается в сетевую организацию представителем заявителя, копия паспорта гражданина Российской Федерации или иного документа, удостоверяющего личность, если заяв..." w:history="1">
        <w:r>
          <w:rPr>
            <w:color w:val="0000FF"/>
          </w:rPr>
          <w:t>"д" пункта 10</w:t>
        </w:r>
      </w:hyperlink>
      <w:r>
        <w:t xml:space="preserve"> настоящих Правил, а также информация о реквизитах договора.</w:t>
      </w:r>
    </w:p>
    <w:p w14:paraId="626F832B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>Информация о реквизитах договора не предоставляется заявителями, энергопринимающие устройства которых являются передвижными и имеют максимальную мощность до 150 кВт включительно.</w:t>
      </w:r>
    </w:p>
    <w:p w14:paraId="6B08048D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>Для целей настоящих Правил под передвижными объектами понимаются энергопринимающие устройства, предназначенные для эксплуатации с периодическим перемещением и установкой на территориях различных административно-территориальных единиц.</w:t>
      </w:r>
    </w:p>
    <w:p w14:paraId="2DA37FB2" w14:textId="77777777" w:rsidR="001D25CB" w:rsidRDefault="001D25CB" w:rsidP="001D25CB">
      <w:pPr>
        <w:pStyle w:val="ConsPlusNormal"/>
        <w:jc w:val="both"/>
      </w:pPr>
      <w:r>
        <w:t>(п. 13 в ред. Постановления Правительства РФ от 26.08.2013 N 737)</w:t>
      </w:r>
    </w:p>
    <w:p w14:paraId="7466ADD9" w14:textId="77777777" w:rsidR="001D25CB" w:rsidRDefault="001D25CB" w:rsidP="001D25CB">
      <w:pPr>
        <w:pStyle w:val="ConsPlusNormal"/>
        <w:spacing w:before="240"/>
        <w:ind w:firstLine="540"/>
        <w:jc w:val="both"/>
      </w:pPr>
      <w:bookmarkStart w:id="7" w:name="Par1028"/>
      <w:bookmarkEnd w:id="7"/>
      <w:r>
        <w:t xml:space="preserve">13(1). В заявке, направляемой сетевой организацией в смежную сетевую организацию в соответствии с </w:t>
      </w:r>
      <w:hyperlink w:anchor="Par1613" w:tooltip="41. Сетевая организация обязана подать заявку на технологическое присоединение к сетям смежной сетевой организации в следующих случаях:" w:history="1">
        <w:r>
          <w:rPr>
            <w:color w:val="0000FF"/>
          </w:rPr>
          <w:t>пунктами 41</w:t>
        </w:r>
      </w:hyperlink>
      <w:r>
        <w:t xml:space="preserve"> и </w:t>
      </w:r>
      <w:hyperlink w:anchor="Par1618" w:tooltip="42. При присоединении объектов электросетевого хозяйства одной сетевой организации (собственника или иного законного владельца объектов электросетевого хозяйства) к объектам электросетевого хозяйства другой сетевой организации заявка на технологическое присоединение подается в сетевую организацию, электрические сети которой в данной точке присоединения имеют более высокий класс напряжения." w:history="1">
        <w:r>
          <w:rPr>
            <w:color w:val="0000FF"/>
          </w:rPr>
          <w:t>42</w:t>
        </w:r>
      </w:hyperlink>
      <w:r>
        <w:t xml:space="preserve"> настоящих Правил, должны быть указаны:</w:t>
      </w:r>
    </w:p>
    <w:p w14:paraId="22284409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 xml:space="preserve">основание (основания) подачи заявки, предусмотренное </w:t>
      </w:r>
      <w:hyperlink w:anchor="Par1613" w:tooltip="41. Сетевая организация обязана подать заявку на технологическое присоединение к сетям смежной сетевой организации в следующих случаях:" w:history="1">
        <w:r>
          <w:rPr>
            <w:color w:val="0000FF"/>
          </w:rPr>
          <w:t>пунктом 41</w:t>
        </w:r>
      </w:hyperlink>
      <w:r>
        <w:t xml:space="preserve"> настоящих Правил, а также сведения, подтверждающие наличие такого основания (сведения об общей максимальной мощности энергопринимающих устройств, присоединенных (присоединяемых) к объектам электросетевого хозяйства сетевой организации, подающей заявку на основании </w:t>
      </w:r>
      <w:hyperlink w:anchor="Par1614" w:tooltip="сумма максимальных мощностей энергопринимающих устройств потребителей, присоединенных к ее объектам электросетевого хозяйства, и (или) объем максимальных мощностей присоединяемых объектов, указанный в заключенных договорах на технологическое присоединение к ее объектам электросетевого хозяйства, превышает объем максимальной мощности,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..." w:history="1">
        <w:r>
          <w:rPr>
            <w:color w:val="0000FF"/>
          </w:rPr>
          <w:t>абзаца второго пункта 41</w:t>
        </w:r>
      </w:hyperlink>
      <w:r>
        <w:t xml:space="preserve"> настоящих Правил, и (или) сведения о включении указанной сетевой организацией в технические условия для заявителя мероприятий на объектах смежной сетевой организации);</w:t>
      </w:r>
    </w:p>
    <w:p w14:paraId="7DC6DDD0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 xml:space="preserve">сведения о сетевой организации, подающей заявку, предусмотренные </w:t>
      </w:r>
      <w:hyperlink w:anchor="Par940" w:tooltip="а) реквизиты заявителя (для юридических лиц - полное наименование и номер записи в Едином государственном реестре юридических лиц, для индивидуальных предпринимателей - номер записи в Едином государственном реестре индивидуальных предпринимателей и дата ее внесения в реестр, 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);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ar943" w:tooltip="в) место нахождения заявителя;" w:history="1">
        <w:r>
          <w:rPr>
            <w:color w:val="0000FF"/>
          </w:rPr>
          <w:t>"в" пункта 9</w:t>
        </w:r>
      </w:hyperlink>
      <w:r>
        <w:t xml:space="preserve"> настоящих Правил;</w:t>
      </w:r>
    </w:p>
    <w:p w14:paraId="51387EE1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>сведения об объектах электросетевого хозяйства смежной сетевой организации, к которым осуществляется присоединение и (или) на которых необходимо проведение мероприятий по технологическому присоединению;</w:t>
      </w:r>
    </w:p>
    <w:p w14:paraId="7F686390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 xml:space="preserve">сведения о присоединяемых объектах электросетевого хозяйства сетевой организации, подавшей заявку, предусмотренные </w:t>
      </w:r>
      <w:hyperlink w:anchor="Par942" w:tooltip="б) наименование и место нахождения энергопринимающих устройств, которые необходимо присоединить к электрическим сетям сетевой организации;" w:history="1">
        <w:r>
          <w:rPr>
            <w:color w:val="0000FF"/>
          </w:rPr>
          <w:t>подпунктами "б"</w:t>
        </w:r>
      </w:hyperlink>
      <w:r>
        <w:t xml:space="preserve">, </w:t>
      </w:r>
      <w:hyperlink w:anchor="Par944" w:tooltip="г) запрашиваемая максимальная мощность энергопринимающих устройств и их технические характеристики, количество, мощность генераторов и присоединяемых к сети трансформаторов;" w:history="1">
        <w:r>
          <w:rPr>
            <w:color w:val="0000FF"/>
          </w:rPr>
          <w:t>"г"</w:t>
        </w:r>
      </w:hyperlink>
      <w:r>
        <w:t xml:space="preserve">, </w:t>
      </w:r>
      <w:hyperlink w:anchor="Par946" w:tooltip="д) количество точек присоединения с указанием технических параметров элементов энергопринимающих устройств;" w:history="1">
        <w:r>
          <w:rPr>
            <w:color w:val="0000FF"/>
          </w:rPr>
          <w:t>"д"</w:t>
        </w:r>
      </w:hyperlink>
      <w:r>
        <w:t xml:space="preserve"> и </w:t>
      </w:r>
      <w:hyperlink w:anchor="Par953" w:tooltip="и) сроки проектирования и поэтапного введения в эксплуатацию энергопринимающих устройств (в том числе по этапам и очередям);" w:history="1">
        <w:r>
          <w:rPr>
            <w:color w:val="0000FF"/>
          </w:rPr>
          <w:t>"и" пункта 9</w:t>
        </w:r>
      </w:hyperlink>
      <w:r>
        <w:t xml:space="preserve"> настоящих Правил, - в случаях, предусмотренных </w:t>
      </w:r>
      <w:hyperlink w:anchor="Par1614" w:tooltip="сумма максимальных мощностей энергопринимающих устройств потребителей, присоединенных к ее объектам электросетевого хозяйства, и (или) объем максимальных мощностей присоединяемых объектов, указанный в заключенных договорах на технологическое присоединение к ее объектам электросетевого хозяйства, превышает объем максимальной мощности,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..." w:history="1">
        <w:r>
          <w:rPr>
            <w:color w:val="0000FF"/>
          </w:rPr>
          <w:t>абзацем вторым пункта 41</w:t>
        </w:r>
      </w:hyperlink>
      <w:r>
        <w:t xml:space="preserve"> настоящих Правил;</w:t>
      </w:r>
    </w:p>
    <w:p w14:paraId="62C085BE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>сведения о сроке осуществления мероприятий по технологическому присоединению энергопринимающих устройств заявителя, определяемом в соответствии с настоящими Правилами (в случаях, когда заявка в смежную сетевую организацию подана в связи с включением мероприятий на объектах такой организации в технические условия (их проект), выданные заявителю).</w:t>
      </w:r>
    </w:p>
    <w:p w14:paraId="0ED7C2BC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 xml:space="preserve">К указанной заявке прилагаются документы, указанные в </w:t>
      </w:r>
      <w:hyperlink w:anchor="Par978" w:tooltip="д) для юридических лиц - выписка из Единого государственного реестра юридических лиц, для индивидуальных предпринимателей - выписка из Единого государственного реестра индивидуальных предпринимателей, а также доверенность или иные документы, подтверждающие полномочия представителя заявителя, подающего и получающего документы, в случае если заявка подается в сетевую организацию представителем заявителя, копия паспорта гражданина Российской Федерации или иного документа, удостоверяющего личность, если заяв..." w:history="1">
        <w:r>
          <w:rPr>
            <w:color w:val="0000FF"/>
          </w:rPr>
          <w:t>подпункте "д" пункта 10</w:t>
        </w:r>
      </w:hyperlink>
      <w:r>
        <w:t xml:space="preserve"> настоящих Правил, а также копии технических условий, выданных заявителям, максимальная мощность энергопринимающих устройств которых составляет свыше 670 кВт, подтверждающих наличие оснований для подачи заявки в соответствии с </w:t>
      </w:r>
      <w:hyperlink w:anchor="Par1614" w:tooltip="сумма максимальных мощностей энергопринимающих устройств потребителей, присоединенных к ее объектам электросетевого хозяйства, и (или) объем максимальных мощностей присоединяемых объектов, указанный в заключенных договорах на технологическое присоединение к ее объектам электросетевого хозяйства, превышает объем максимальной мощности,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..." w:history="1">
        <w:r>
          <w:rPr>
            <w:color w:val="0000FF"/>
          </w:rPr>
          <w:t>абзацем вторым пункта 41</w:t>
        </w:r>
      </w:hyperlink>
      <w:r>
        <w:t xml:space="preserve"> настоящих </w:t>
      </w:r>
      <w:r>
        <w:lastRenderedPageBreak/>
        <w:t>Правил. Копии технических условий, выданных заявителям, мощность энергопринимающих устройств которых составляет менее 670 кВт, подтверждающих наличие оснований для подачи заявки, предоставляются по запросу смежной сетевой организации, в которую подана заявка, в течение 5 дней со дня поступления такого запроса.</w:t>
      </w:r>
    </w:p>
    <w:p w14:paraId="065671AE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 xml:space="preserve">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МВт, к заявке также прилагаются документы, предусмотренные </w:t>
      </w:r>
      <w:hyperlink w:anchor="Par991" w:tooltip="к) в случае технологического присоединения объекта по производству электрической энергии максимальной мощностью более 5 МВт или энергопринимающих устройств максимальной мощностью более 50 МВт схема выдачи мощности или схема внешнего электроснабжения соответственно, разработанная заявителем и согласованная им с сетевой организацией и субъектом оперативно-диспетчерского управления в электроэнергетике в соответствии с правилами разработки и согласования схем выдачи мощности объектов по производству электрич..." w:history="1">
        <w:r>
          <w:rPr>
            <w:color w:val="0000FF"/>
          </w:rPr>
          <w:t>подпунктом "к" пункта 10</w:t>
        </w:r>
      </w:hyperlink>
      <w:r>
        <w:t xml:space="preserve"> настоящих Правил. В случаях, предусмотренных </w:t>
      </w:r>
      <w:hyperlink w:anchor="Par1614" w:tooltip="сумма максимальных мощностей энергопринимающих устройств потребителей, присоединенных к ее объектам электросетевого хозяйства, и (или) объем максимальных мощностей присоединяемых объектов, указанный в заключенных договорах на технологическое присоединение к ее объектам электросетевого хозяйства, превышает объем максимальной мощности,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..." w:history="1">
        <w:r>
          <w:rPr>
            <w:color w:val="0000FF"/>
          </w:rPr>
          <w:t>абзацем вторым пункта 41</w:t>
        </w:r>
      </w:hyperlink>
      <w:r>
        <w:t xml:space="preserve"> настоящих Правил, к заявке также прилагаются документы, предусмотренные </w:t>
      </w:r>
      <w:hyperlink w:anchor="Par971" w:tooltip="а) план расположения энергопринимающих устройств, которые необходимо присоединить к электрическим сетям сетевой организации;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ar976" w:tooltip="г) копия документа, подтверждающего право собственности или иное предусмотренное законом основание на объект капитального строительства (нежилое помещение в таком объекте капитального строительства) и (или) земельный участок, на котором расположены (будут располагаться) объекты заявителя, либо право собственности или иное предусмотренное законом основание на энергопринимающие устройства (для заявителей, планирующих осуществить технологическое присоединение энергопринимающих устройств потребителей, распол..." w:history="1">
        <w:r>
          <w:rPr>
            <w:color w:val="0000FF"/>
          </w:rPr>
          <w:t>"г" пункта 10</w:t>
        </w:r>
      </w:hyperlink>
      <w:r>
        <w:t xml:space="preserve"> настоящих Правил.</w:t>
      </w:r>
    </w:p>
    <w:p w14:paraId="3D53C959" w14:textId="77777777" w:rsidR="001D25CB" w:rsidRDefault="001D25CB" w:rsidP="001D25CB">
      <w:pPr>
        <w:pStyle w:val="ConsPlusNormal"/>
        <w:jc w:val="both"/>
      </w:pPr>
      <w:r>
        <w:t>(п. 13(1) введен Постановлением Правительства РФ от 29.05.2019 N 682)</w:t>
      </w:r>
    </w:p>
    <w:p w14:paraId="52602A75" w14:textId="77777777" w:rsidR="001D25CB" w:rsidRDefault="001D25CB" w:rsidP="001D25CB">
      <w:pPr>
        <w:pStyle w:val="ConsPlusNormal"/>
        <w:spacing w:before="240"/>
        <w:ind w:firstLine="540"/>
        <w:jc w:val="both"/>
      </w:pPr>
      <w:bookmarkStart w:id="8" w:name="Par1037"/>
      <w:bookmarkEnd w:id="8"/>
      <w:r>
        <w:t>14. В заявке, направляемой заявителем - физическим лицом в целях технологического присоединения энергопринимающих устройств, максимальная мощность которых составляет до 15 кВт включительно (с учетом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источнику, должны быть указаны:</w:t>
      </w:r>
    </w:p>
    <w:p w14:paraId="4E499D26" w14:textId="77777777" w:rsidR="001D25CB" w:rsidRDefault="001D25CB" w:rsidP="001D25CB">
      <w:pPr>
        <w:pStyle w:val="ConsPlusNormal"/>
        <w:jc w:val="both"/>
      </w:pPr>
      <w:r>
        <w:t>(в ред. Постановления Правительства РФ от 04.05.2012 N 442)</w:t>
      </w:r>
    </w:p>
    <w:p w14:paraId="791EA20D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>а) фамилия, имя и отчество заявителя, серия, номер и дата выдачи паспорта или иного документа, удостоверяющего личность в соответствии с законодательством Российской Федерации;</w:t>
      </w:r>
    </w:p>
    <w:p w14:paraId="273BD877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>б) место жительства заявителя;</w:t>
      </w:r>
    </w:p>
    <w:p w14:paraId="3DEC1DEE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 xml:space="preserve">в) сведения, предусмотренные </w:t>
      </w:r>
      <w:hyperlink w:anchor="Par942" w:tooltip="б) наименование и место нахождения энергопринимающих устройств, которые необходимо присоединить к электрическим сетям сетевой организации;" w:history="1">
        <w:r>
          <w:rPr>
            <w:color w:val="0000FF"/>
          </w:rPr>
          <w:t>подпунктами "б"</w:t>
        </w:r>
      </w:hyperlink>
      <w:r>
        <w:t xml:space="preserve">, </w:t>
      </w:r>
      <w:hyperlink w:anchor="Par953" w:tooltip="и) сроки проектирования и поэтапного введения в эксплуатацию энергопринимающих устройств (в том числе по этапам и очередям);" w:history="1">
        <w:r>
          <w:rPr>
            <w:color w:val="0000FF"/>
          </w:rPr>
          <w:t>"и"</w:t>
        </w:r>
      </w:hyperlink>
      <w:r>
        <w:t xml:space="preserve"> и </w:t>
      </w:r>
      <w:hyperlink w:anchor="Par956" w:tooltip="л) наименование субъекта розничного рынка, с которым заявитель намеревается заключить договор, обеспечивающий продажу электрической энергии (мощности) на розничном рынке, и вид такого договора (договор энергоснабжения или купли-продажи (поставки) электрической энергии (мощности));" w:history="1">
        <w:r>
          <w:rPr>
            <w:color w:val="0000FF"/>
          </w:rPr>
          <w:t>"л" пункта 9</w:t>
        </w:r>
      </w:hyperlink>
      <w:r>
        <w:t xml:space="preserve"> настоящих Правил;</w:t>
      </w:r>
    </w:p>
    <w:p w14:paraId="2644FEFE" w14:textId="77777777" w:rsidR="001D25CB" w:rsidRDefault="001D25CB" w:rsidP="001D25C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"в" в ред. Постановления Правительства РФ от 10.02.2014 N 95)</w:t>
      </w:r>
    </w:p>
    <w:p w14:paraId="3FF70D59" w14:textId="77777777" w:rsidR="001D25CB" w:rsidRDefault="001D25CB" w:rsidP="001D25CB">
      <w:pPr>
        <w:pStyle w:val="ConsPlusNormal"/>
        <w:spacing w:before="240"/>
        <w:ind w:firstLine="540"/>
        <w:jc w:val="both"/>
      </w:pPr>
      <w:r>
        <w:t>г) запрашиваемая максимальная мощность энергопринимающих устройств заявителя.</w:t>
      </w:r>
    </w:p>
    <w:p w14:paraId="03C7D638" w14:textId="77777777" w:rsidR="001D25CB" w:rsidRDefault="001D25CB" w:rsidP="001D25CB">
      <w:pPr>
        <w:pStyle w:val="ConsPlusNormal"/>
        <w:jc w:val="both"/>
      </w:pPr>
      <w:r>
        <w:t>(в ред. Постановления Правительства РФ от 04.05.2012 N 442)</w:t>
      </w:r>
    </w:p>
    <w:p w14:paraId="2471CF61" w14:textId="77777777" w:rsidR="001D25CB" w:rsidRDefault="001D25CB" w:rsidP="001D25CB">
      <w:pPr>
        <w:pStyle w:val="ConsPlusNormal"/>
        <w:jc w:val="both"/>
      </w:pPr>
      <w:r>
        <w:t>(п. 14 в ред. Постановления Правительства РФ от 21.04.2009 N 334)</w:t>
      </w:r>
    </w:p>
    <w:p w14:paraId="50EE2D93" w14:textId="77777777" w:rsidR="001D25CB" w:rsidRDefault="001D25CB" w:rsidP="00713724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D25CB" w:rsidSect="00364340">
      <w:pgSz w:w="11906" w:h="16838"/>
      <w:pgMar w:top="624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01D8"/>
    <w:multiLevelType w:val="hybridMultilevel"/>
    <w:tmpl w:val="C582C63E"/>
    <w:lvl w:ilvl="0" w:tplc="8AEABD3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47"/>
    <w:rsid w:val="000D4443"/>
    <w:rsid w:val="00101133"/>
    <w:rsid w:val="001A1376"/>
    <w:rsid w:val="001C3247"/>
    <w:rsid w:val="001D25CB"/>
    <w:rsid w:val="00236828"/>
    <w:rsid w:val="0024024A"/>
    <w:rsid w:val="002C5482"/>
    <w:rsid w:val="002D79F1"/>
    <w:rsid w:val="00364340"/>
    <w:rsid w:val="0051456F"/>
    <w:rsid w:val="00520CF1"/>
    <w:rsid w:val="00574487"/>
    <w:rsid w:val="00575C5A"/>
    <w:rsid w:val="00642831"/>
    <w:rsid w:val="00647CD0"/>
    <w:rsid w:val="00713724"/>
    <w:rsid w:val="007304E7"/>
    <w:rsid w:val="00750F0F"/>
    <w:rsid w:val="0076762F"/>
    <w:rsid w:val="008456DE"/>
    <w:rsid w:val="008E7788"/>
    <w:rsid w:val="009B744A"/>
    <w:rsid w:val="009C2965"/>
    <w:rsid w:val="009F0EF2"/>
    <w:rsid w:val="00A14E0F"/>
    <w:rsid w:val="00B41241"/>
    <w:rsid w:val="00C320EC"/>
    <w:rsid w:val="00D066E2"/>
    <w:rsid w:val="00D56677"/>
    <w:rsid w:val="00DB4E5E"/>
    <w:rsid w:val="00DD5EA6"/>
    <w:rsid w:val="00E5163B"/>
    <w:rsid w:val="00E954AF"/>
    <w:rsid w:val="00EA4FF3"/>
    <w:rsid w:val="00EC2674"/>
    <w:rsid w:val="00F8528B"/>
    <w:rsid w:val="00FC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1FBB"/>
  <w15:docId w15:val="{051AB88D-DF97-40B0-BD81-361E2E29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56D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E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0EF2"/>
    <w:pPr>
      <w:ind w:left="720"/>
      <w:contextualSpacing/>
    </w:pPr>
  </w:style>
  <w:style w:type="paragraph" w:customStyle="1" w:styleId="ConsPlusNormal">
    <w:name w:val="ConsPlusNormal"/>
    <w:rsid w:val="001D25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8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8E0D3-06ED-4560-9650-6A71C2B3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4166</Words>
  <Characters>23751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Реутский Д.Д.</dc:creator>
  <cp:lastModifiedBy>Игнатов Валерий Михайлович</cp:lastModifiedBy>
  <cp:revision>3</cp:revision>
  <cp:lastPrinted>2018-09-20T12:08:00Z</cp:lastPrinted>
  <dcterms:created xsi:type="dcterms:W3CDTF">2020-12-02T11:22:00Z</dcterms:created>
  <dcterms:modified xsi:type="dcterms:W3CDTF">2020-12-04T07:53:00Z</dcterms:modified>
</cp:coreProperties>
</file>